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Britannic Bold" w:hAnsi="Britannic Bold"/>
          <w:color w:val="FF0000"/>
          <w:sz w:val="32"/>
          <w:szCs w:val="32"/>
        </w:rPr>
      </w:pPr>
      <w:r>
        <w:rPr>
          <w:color w:val="FF0000"/>
          <w:szCs w:val="24"/>
        </w:rPr>
        <w:t xml:space="preserve">                                                          </w:t>
      </w:r>
      <w:r>
        <w:rPr>
          <w:rFonts w:ascii="Britannic Bold" w:hAnsi="Britannic Bold"/>
          <w:color w:val="FF0000"/>
          <w:sz w:val="32"/>
          <w:szCs w:val="32"/>
        </w:rPr>
        <w:t>INFORMÁCIA</w:t>
      </w:r>
    </w:p>
    <w:p>
      <w:pPr>
        <w:rPr>
          <w:rFonts w:ascii="Britannic Bold" w:hAnsi="Britannic Bold"/>
          <w:color w:val="FF0000"/>
          <w:sz w:val="32"/>
          <w:szCs w:val="32"/>
        </w:rPr>
      </w:pPr>
    </w:p>
    <w:p>
      <w:pPr>
        <w:jc w:val="center"/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>všetkým organizátorom aktiva</w:t>
      </w:r>
      <w:r>
        <w:rPr>
          <w:rFonts w:ascii="Arial" w:hAnsi="Arial" w:cs="Arial"/>
          <w:color w:val="FF0000"/>
          <w:sz w:val="32"/>
          <w:szCs w:val="32"/>
        </w:rPr>
        <w:t>č</w:t>
      </w:r>
      <w:r>
        <w:rPr>
          <w:rFonts w:ascii="Britannic Bold" w:hAnsi="Britannic Bold"/>
          <w:color w:val="FF0000"/>
          <w:sz w:val="32"/>
          <w:szCs w:val="32"/>
        </w:rPr>
        <w:t xml:space="preserve">nej </w:t>
      </w:r>
      <w:r>
        <w:rPr>
          <w:rFonts w:ascii="Arial" w:hAnsi="Arial" w:cs="Arial"/>
          <w:color w:val="FF0000"/>
          <w:sz w:val="32"/>
          <w:szCs w:val="32"/>
        </w:rPr>
        <w:t>č</w:t>
      </w:r>
      <w:r>
        <w:rPr>
          <w:rFonts w:ascii="Britannic Bold" w:hAnsi="Britannic Bold"/>
          <w:color w:val="FF0000"/>
          <w:sz w:val="32"/>
          <w:szCs w:val="32"/>
        </w:rPr>
        <w:t>innosti v</w:t>
      </w:r>
      <w:r>
        <w:rPr>
          <w:rFonts w:ascii="Britannic Bold" w:hAnsi="Britannic Bold" w:cs="Britannic Bold"/>
          <w:color w:val="FF0000"/>
          <w:sz w:val="32"/>
          <w:szCs w:val="32"/>
        </w:rPr>
        <w:t> </w:t>
      </w:r>
      <w:r>
        <w:rPr>
          <w:rFonts w:ascii="Britannic Bold" w:hAnsi="Britannic Bold"/>
          <w:color w:val="FF0000"/>
          <w:sz w:val="32"/>
          <w:szCs w:val="32"/>
        </w:rPr>
        <w:t>okrese Rimavsk</w:t>
      </w:r>
      <w:r>
        <w:rPr>
          <w:rFonts w:ascii="Britannic Bold" w:hAnsi="Britannic Bold" w:cs="Britannic Bold"/>
          <w:color w:val="FF0000"/>
          <w:sz w:val="32"/>
          <w:szCs w:val="32"/>
        </w:rPr>
        <w:t>á</w:t>
      </w:r>
      <w:r>
        <w:rPr>
          <w:rFonts w:ascii="Britannic Bold" w:hAnsi="Britannic Bold"/>
          <w:color w:val="FF0000"/>
          <w:sz w:val="32"/>
          <w:szCs w:val="32"/>
        </w:rPr>
        <w:t xml:space="preserve"> Sobota</w:t>
      </w:r>
    </w:p>
    <w:p>
      <w:pPr>
        <w:rPr>
          <w:color w:val="FF0000"/>
          <w:szCs w:val="24"/>
        </w:rPr>
      </w:pPr>
    </w:p>
    <w:p>
      <w:pPr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 xml:space="preserve">      V nadväznosti na schválené   Nariadenie vlády SR  č. 273/2020 </w:t>
      </w:r>
      <w:proofErr w:type="spellStart"/>
      <w:r>
        <w:rPr>
          <w:szCs w:val="24"/>
        </w:rPr>
        <w:t>Z.z.,zo</w:t>
      </w:r>
      <w:proofErr w:type="spellEnd"/>
      <w:r>
        <w:rPr>
          <w:szCs w:val="24"/>
        </w:rPr>
        <w:t xml:space="preserve"> dňa 30.09.2020, ktorým sa mení a dopĺňa nariadenie vlády Slovenskej republiky č. 102/2020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niektorých opatreniach v oblasti sociálnych vecí, rodiny a služieb zamestnanosti v čase mimoriadnej situácie, núdzového stavu alebo výnimočného stavu vyhláseného v súvislosti s ochorením COVID-19 (ďalej len  „novela nariadenia“)v znení nariadenia vlády Slovenskej republiky č. 184/2020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ktoré nadobudlo účinnosť </w:t>
      </w:r>
      <w:r>
        <w:rPr>
          <w:rFonts w:ascii="Arial Black" w:hAnsi="Arial Black"/>
          <w:b/>
          <w:szCs w:val="24"/>
        </w:rPr>
        <w:t>od 15.10.2020</w:t>
      </w:r>
      <w:r>
        <w:rPr>
          <w:b/>
          <w:szCs w:val="24"/>
        </w:rPr>
        <w:t xml:space="preserve"> </w:t>
      </w:r>
      <w:r>
        <w:rPr>
          <w:szCs w:val="24"/>
        </w:rPr>
        <w:t xml:space="preserve">a na základe pokynov Ústredia PSVR Bratislava , Vás chceme oboznámiť o zmenách a postupoch  v zmysle novely nariadenia, ktoré sa týkajú  aplikácii §10 a §12   zákona č.417/2013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pomoci v hmotnej núdzi (ďalej len „zákon o pomoci v hmotnej núdzi“) , </w:t>
      </w:r>
    </w:p>
    <w:p>
      <w:pPr>
        <w:jc w:val="both"/>
        <w:rPr>
          <w:szCs w:val="24"/>
        </w:rPr>
      </w:pPr>
    </w:p>
    <w:p>
      <w:pPr>
        <w:pStyle w:val="Odsekzoznamu"/>
        <w:numPr>
          <w:ilvl w:val="0"/>
          <w:numId w:val="7"/>
        </w:numPr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Citácia </w:t>
      </w:r>
      <w:r>
        <w:rPr>
          <w:rFonts w:ascii="Arial Black" w:hAnsi="Arial Black"/>
          <w:b/>
          <w:bCs/>
          <w:color w:val="FF0000"/>
          <w:szCs w:val="24"/>
          <w:lang w:eastAsia="sk-SK"/>
        </w:rPr>
        <w:t>§ 2</w:t>
      </w:r>
      <w:r>
        <w:rPr>
          <w:b/>
          <w:bCs/>
          <w:szCs w:val="24"/>
          <w:lang w:eastAsia="sk-SK"/>
        </w:rPr>
        <w:t xml:space="preserve">  novely  nariadenia</w:t>
      </w:r>
    </w:p>
    <w:p>
      <w:pPr>
        <w:shd w:val="clear" w:color="auto" w:fill="FFFFFF"/>
        <w:jc w:val="both"/>
        <w:rPr>
          <w:i/>
          <w:iCs/>
          <w:szCs w:val="24"/>
          <w:lang w:eastAsia="sk-SK"/>
        </w:rPr>
      </w:pPr>
      <w:r>
        <w:rPr>
          <w:i/>
          <w:iCs/>
          <w:szCs w:val="24"/>
          <w:highlight w:val="yellow"/>
          <w:lang w:eastAsia="sk-SK"/>
        </w:rPr>
        <w:t>„V čase krízovej situácie sa ustanovenia o znižovaní dávky v hmotnej núdzi podľa osobitného predpisu</w:t>
      </w:r>
      <w:r>
        <w:rPr>
          <w:i/>
          <w:iCs/>
          <w:szCs w:val="24"/>
          <w:highlight w:val="yellow"/>
          <w:vertAlign w:val="superscript"/>
          <w:lang w:eastAsia="sk-SK"/>
        </w:rPr>
        <w:t>1</w:t>
      </w:r>
      <w:r>
        <w:rPr>
          <w:i/>
          <w:iCs/>
          <w:szCs w:val="24"/>
          <w:highlight w:val="yellow"/>
          <w:lang w:eastAsia="sk-SK"/>
        </w:rPr>
        <w:t xml:space="preserve">) nevzťahujú na člena domácnosti, ktorý má príslušným regionálnym úradom verejného zdravotníctva </w:t>
      </w:r>
      <w:r>
        <w:rPr>
          <w:b/>
          <w:i/>
          <w:iCs/>
          <w:szCs w:val="24"/>
          <w:highlight w:val="yellow"/>
          <w:lang w:eastAsia="sk-SK"/>
        </w:rPr>
        <w:t>nariadené karanténne opatrenie alebo izoláciu</w:t>
      </w:r>
      <w:r>
        <w:rPr>
          <w:i/>
          <w:iCs/>
          <w:szCs w:val="24"/>
          <w:highlight w:val="yellow"/>
          <w:lang w:eastAsia="sk-SK"/>
        </w:rPr>
        <w:t xml:space="preserve"> a z toho dôvodu sa </w:t>
      </w:r>
      <w:r>
        <w:rPr>
          <w:b/>
          <w:i/>
          <w:iCs/>
          <w:szCs w:val="24"/>
          <w:highlight w:val="yellow"/>
          <w:lang w:eastAsia="sk-SK"/>
        </w:rPr>
        <w:t>nemôže zúčastniť výkonu činností</w:t>
      </w:r>
      <w:r>
        <w:rPr>
          <w:i/>
          <w:iCs/>
          <w:szCs w:val="24"/>
          <w:highlight w:val="yellow"/>
          <w:lang w:eastAsia="sk-SK"/>
        </w:rPr>
        <w:t xml:space="preserve"> podľa osobitného predpisu.</w:t>
      </w:r>
      <w:r>
        <w:rPr>
          <w:i/>
          <w:iCs/>
          <w:szCs w:val="24"/>
          <w:highlight w:val="yellow"/>
          <w:vertAlign w:val="superscript"/>
          <w:lang w:eastAsia="sk-SK"/>
        </w:rPr>
        <w:t>2</w:t>
      </w:r>
      <w:r>
        <w:rPr>
          <w:i/>
          <w:iCs/>
          <w:szCs w:val="24"/>
          <w:highlight w:val="yellow"/>
          <w:lang w:eastAsia="sk-SK"/>
        </w:rPr>
        <w:t>)“.</w:t>
      </w:r>
    </w:p>
    <w:p>
      <w:pPr>
        <w:shd w:val="clear" w:color="auto" w:fill="FFFFFF"/>
        <w:jc w:val="both"/>
        <w:rPr>
          <w:szCs w:val="24"/>
          <w:lang w:eastAsia="sk-SK"/>
        </w:rPr>
      </w:pPr>
      <w:r>
        <w:rPr>
          <w:szCs w:val="24"/>
          <w:lang w:eastAsia="sk-SK"/>
        </w:rPr>
        <w:t>Poznámky pod čiarou k odkazom 1 a 2 znejú:</w:t>
      </w:r>
    </w:p>
    <w:p>
      <w:pPr>
        <w:shd w:val="clear" w:color="auto" w:fill="FFFFFF"/>
        <w:jc w:val="both"/>
        <w:rPr>
          <w:i/>
          <w:iCs/>
          <w:szCs w:val="24"/>
          <w:lang w:eastAsia="sk-SK"/>
        </w:rPr>
      </w:pPr>
      <w:r>
        <w:rPr>
          <w:i/>
          <w:iCs/>
          <w:szCs w:val="24"/>
          <w:lang w:eastAsia="sk-SK"/>
        </w:rPr>
        <w:t>„</w:t>
      </w:r>
      <w:r>
        <w:rPr>
          <w:i/>
          <w:iCs/>
          <w:szCs w:val="24"/>
          <w:vertAlign w:val="superscript"/>
          <w:lang w:eastAsia="sk-SK"/>
        </w:rPr>
        <w:t>1</w:t>
      </w:r>
      <w:r>
        <w:rPr>
          <w:i/>
          <w:iCs/>
          <w:szCs w:val="24"/>
          <w:lang w:eastAsia="sk-SK"/>
        </w:rPr>
        <w:t>) § 10 ods. 3 až 13 zákona č. 417/2013 Z. z. o pomoci v hmotnej núdzi a o zmene a doplnení niektorých zákonov v znení neskorších predpisov.</w:t>
      </w:r>
    </w:p>
    <w:p>
      <w:pPr>
        <w:shd w:val="clear" w:color="auto" w:fill="FFFFFF"/>
        <w:jc w:val="both"/>
        <w:rPr>
          <w:i/>
          <w:iCs/>
          <w:szCs w:val="24"/>
          <w:lang w:eastAsia="sk-SK"/>
        </w:rPr>
      </w:pPr>
      <w:r>
        <w:rPr>
          <w:i/>
          <w:iCs/>
          <w:szCs w:val="24"/>
          <w:vertAlign w:val="superscript"/>
          <w:lang w:eastAsia="sk-SK"/>
        </w:rPr>
        <w:t>2</w:t>
      </w:r>
      <w:r>
        <w:rPr>
          <w:i/>
          <w:iCs/>
          <w:szCs w:val="24"/>
          <w:lang w:eastAsia="sk-SK"/>
        </w:rPr>
        <w:t>) § 10 ods. 3 zákona č. 417/2013 Z. z. v znení neskorších predpisov.“.</w:t>
      </w:r>
    </w:p>
    <w:p>
      <w:pPr>
        <w:shd w:val="clear" w:color="auto" w:fill="FFFFFF"/>
        <w:jc w:val="both"/>
        <w:rPr>
          <w:i/>
          <w:iCs/>
          <w:szCs w:val="24"/>
          <w:lang w:eastAsia="sk-SK"/>
        </w:rPr>
      </w:pPr>
    </w:p>
    <w:p>
      <w:pPr>
        <w:pStyle w:val="Default"/>
        <w:numPr>
          <w:ilvl w:val="0"/>
          <w:numId w:val="5"/>
        </w:numPr>
        <w:jc w:val="both"/>
        <w:rPr>
          <w:rFonts w:ascii="Generic1-Regular" w:hAnsi="Generic1-Regular" w:cs="Generic1-Regular"/>
          <w:sz w:val="23"/>
          <w:szCs w:val="23"/>
        </w:rPr>
      </w:pPr>
      <w:r>
        <w:rPr>
          <w:iCs/>
          <w:lang w:eastAsia="sk-SK"/>
        </w:rPr>
        <w:t xml:space="preserve">V praxi to znamená, že v zmysle predmetného </w:t>
      </w:r>
      <w:r>
        <w:t xml:space="preserve"> </w:t>
      </w:r>
      <w:r>
        <w:rPr>
          <w:sz w:val="23"/>
          <w:szCs w:val="23"/>
        </w:rPr>
        <w:t xml:space="preserve">ustanovenia sa v čase krízovej situácie </w:t>
      </w:r>
      <w:r>
        <w:rPr>
          <w:b/>
          <w:bCs/>
          <w:sz w:val="23"/>
          <w:szCs w:val="23"/>
        </w:rPr>
        <w:t xml:space="preserve">ustanovenia o znižovaní dávky </w:t>
      </w:r>
      <w:r>
        <w:rPr>
          <w:sz w:val="23"/>
          <w:szCs w:val="23"/>
        </w:rPr>
        <w:t xml:space="preserve">v hmotnej núdzi podľa § 10 ods. 3 až 13 zákona o pomoci v hmotnej núdzi, nebudú uplatňovať na člena domácnosti, ktorý sa nezúčastní výkonu činností z dôvodu, </w:t>
      </w:r>
      <w:r>
        <w:rPr>
          <w:b/>
          <w:bCs/>
          <w:sz w:val="23"/>
          <w:szCs w:val="23"/>
        </w:rPr>
        <w:t xml:space="preserve">že má príslušným regionálnym úradom verejného zdravotníctva nariadenú karanténu. </w:t>
      </w:r>
      <w:r>
        <w:rPr>
          <w:bCs/>
          <w:sz w:val="23"/>
          <w:szCs w:val="23"/>
        </w:rPr>
        <w:t>V takýchto prípadoch sa hodiny v dochádzke budú vykazovať ako ospravedlnené a teda nebude potrebné, aby sa občan zúčastňoval výkonu činnosti  v zmysle §10 zákona o </w:t>
      </w:r>
      <w:proofErr w:type="spellStart"/>
      <w:r>
        <w:rPr>
          <w:bCs/>
          <w:sz w:val="23"/>
          <w:szCs w:val="23"/>
        </w:rPr>
        <w:t>PvHN</w:t>
      </w:r>
      <w:proofErr w:type="spellEnd"/>
      <w:r>
        <w:rPr>
          <w:bCs/>
          <w:sz w:val="23"/>
          <w:szCs w:val="23"/>
        </w:rPr>
        <w:t xml:space="preserve"> za toto obdobie v náhradnom termíne.</w:t>
      </w:r>
    </w:p>
    <w:p>
      <w:pPr>
        <w:pStyle w:val="Default"/>
        <w:ind w:left="720"/>
        <w:jc w:val="both"/>
        <w:rPr>
          <w:rFonts w:ascii="Generic1-Regular" w:hAnsi="Generic1-Regular" w:cs="Generic1-Regular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!!!!! </w:t>
      </w:r>
      <w:r>
        <w:rPr>
          <w:bCs/>
          <w:sz w:val="23"/>
          <w:szCs w:val="23"/>
        </w:rPr>
        <w:t>Chceme však podotknúť  ,</w:t>
      </w:r>
      <w:r>
        <w:t xml:space="preserve"> </w:t>
      </w:r>
      <w:r>
        <w:rPr>
          <w:sz w:val="23"/>
          <w:szCs w:val="23"/>
        </w:rPr>
        <w:t xml:space="preserve">že </w:t>
      </w:r>
      <w:r>
        <w:rPr>
          <w:b/>
          <w:bCs/>
          <w:sz w:val="23"/>
          <w:szCs w:val="23"/>
        </w:rPr>
        <w:t>nie je postačujúce len tvrdenie občana, že mu bolo nariadené karanténne opatrenie alebo izolácia</w:t>
      </w:r>
      <w:r>
        <w:rPr>
          <w:rFonts w:ascii="Generic1-Regular" w:hAnsi="Generic1-Regular" w:cs="Generic1-Regular"/>
          <w:sz w:val="23"/>
          <w:szCs w:val="23"/>
        </w:rPr>
        <w:t>. Predmetnú skutočnosť k vyhodnoteniu dochádzky bude preverovať Aktivačné centrum (</w:t>
      </w:r>
      <w:r>
        <w:rPr>
          <w:i/>
          <w:iCs/>
          <w:sz w:val="23"/>
          <w:szCs w:val="23"/>
        </w:rPr>
        <w:t>ďalej len „AC“</w:t>
      </w:r>
      <w:r>
        <w:rPr>
          <w:rFonts w:ascii="Generic1-Regular" w:hAnsi="Generic1-Regular" w:cs="Generic1-Regular"/>
          <w:sz w:val="23"/>
          <w:szCs w:val="23"/>
        </w:rPr>
        <w:t xml:space="preserve">) na príslušnom regionálnom úrade verejného zdravotníctva. </w:t>
      </w:r>
    </w:p>
    <w:p>
      <w:pPr>
        <w:pStyle w:val="Default"/>
        <w:jc w:val="both"/>
        <w:rPr>
          <w:rFonts w:ascii="Generic1-Regular" w:hAnsi="Generic1-Regular" w:cs="Generic1-Regular"/>
          <w:sz w:val="23"/>
          <w:szCs w:val="23"/>
        </w:rPr>
      </w:pPr>
    </w:p>
    <w:p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neric1-Regular" w:hAnsi="Generic1-Regular" w:cs="Generic1-Regular"/>
          <w:color w:val="000000"/>
          <w:sz w:val="23"/>
          <w:szCs w:val="23"/>
          <w:highlight w:val="yellow"/>
        </w:rPr>
      </w:pPr>
      <w:r>
        <w:rPr>
          <w:rFonts w:ascii="Generic1-Regular" w:hAnsi="Generic1-Regular" w:cs="Generic1-Regular"/>
          <w:color w:val="000000"/>
          <w:sz w:val="23"/>
          <w:szCs w:val="23"/>
        </w:rPr>
        <w:t xml:space="preserve">Novela nariadenia v </w:t>
      </w:r>
      <w:r>
        <w:rPr>
          <w:rFonts w:ascii="Arial Black" w:hAnsi="Arial Black" w:cs="Generic1-Regular"/>
          <w:color w:val="FF0000"/>
          <w:sz w:val="23"/>
          <w:szCs w:val="23"/>
        </w:rPr>
        <w:t>§ 7</w:t>
      </w:r>
      <w:r>
        <w:rPr>
          <w:rFonts w:ascii="Generic1-Regular" w:hAnsi="Generic1-Regular" w:cs="Generic1-Regular"/>
          <w:color w:val="FF0000"/>
          <w:sz w:val="23"/>
          <w:szCs w:val="23"/>
        </w:rPr>
        <w:t xml:space="preserve"> </w:t>
      </w:r>
      <w:r>
        <w:rPr>
          <w:rFonts w:ascii="Generic0-Regular" w:hAnsi="Generic0-Regular" w:cs="Generic0-Regular"/>
          <w:b/>
          <w:bCs/>
          <w:color w:val="000000"/>
          <w:sz w:val="23"/>
          <w:szCs w:val="23"/>
          <w:highlight w:val="yellow"/>
        </w:rPr>
        <w:t xml:space="preserve">doplnila ďalší dôvod </w:t>
      </w:r>
      <w:r>
        <w:rPr>
          <w:rFonts w:ascii="Generic1-Regular" w:hAnsi="Generic1-Regular" w:cs="Generic1-Regular"/>
          <w:color w:val="000000"/>
          <w:sz w:val="23"/>
          <w:szCs w:val="23"/>
          <w:highlight w:val="yellow"/>
        </w:rPr>
        <w:t xml:space="preserve">poskytovania </w:t>
      </w:r>
      <w:r>
        <w:rPr>
          <w:rFonts w:ascii="Generic1-Regular" w:hAnsi="Generic1-Regular" w:cs="Generic1-Regular"/>
          <w:color w:val="000000"/>
          <w:sz w:val="23"/>
          <w:szCs w:val="23"/>
          <w:highlight w:val="yellow"/>
          <w:u w:val="single"/>
        </w:rPr>
        <w:t>ochranného príspevku</w:t>
      </w:r>
      <w:r>
        <w:rPr>
          <w:rFonts w:ascii="Generic1-Regular" w:hAnsi="Generic1-Regular" w:cs="Generic1-Regular"/>
          <w:color w:val="000000"/>
          <w:sz w:val="23"/>
          <w:szCs w:val="23"/>
          <w:highlight w:val="yellow"/>
        </w:rPr>
        <w:t xml:space="preserve"> v čase COVID – 19 v sume 37,30 eura/mesačne, </w:t>
      </w:r>
      <w:r>
        <w:rPr>
          <w:rFonts w:ascii="Generic0-Regular" w:hAnsi="Generic0-Regular" w:cs="Generic0-Regular"/>
          <w:b/>
          <w:bCs/>
          <w:color w:val="000000"/>
          <w:sz w:val="23"/>
          <w:szCs w:val="23"/>
          <w:highlight w:val="yellow"/>
        </w:rPr>
        <w:t xml:space="preserve">ktorým je nariadenie karanténneho opatrenia alebo izolácie regionálnym úradom verejného zdravotníctva. </w:t>
      </w:r>
    </w:p>
    <w:p>
      <w:pPr>
        <w:pStyle w:val="Odsekzoznamu"/>
        <w:autoSpaceDE w:val="0"/>
        <w:autoSpaceDN w:val="0"/>
        <w:adjustRightInd w:val="0"/>
        <w:jc w:val="both"/>
        <w:rPr>
          <w:rFonts w:ascii="Generic1-Regular" w:hAnsi="Generic1-Regular" w:cs="Generic1-Regular"/>
          <w:color w:val="000000"/>
          <w:sz w:val="23"/>
          <w:szCs w:val="23"/>
        </w:rPr>
      </w:pPr>
      <w:r>
        <w:rPr>
          <w:rFonts w:ascii="Generic1-Regular" w:hAnsi="Generic1-Regular" w:cs="Generic1-Regular"/>
          <w:color w:val="000000"/>
          <w:sz w:val="23"/>
          <w:szCs w:val="23"/>
        </w:rPr>
        <w:t xml:space="preserve">V nadväznosti na uvedené </w:t>
      </w:r>
      <w:r>
        <w:rPr>
          <w:rFonts w:ascii="Generic1-Regular" w:hAnsi="Generic1-Regular" w:cs="Generic1-Regular"/>
          <w:i/>
          <w:color w:val="000000"/>
          <w:sz w:val="23"/>
          <w:szCs w:val="23"/>
          <w:u w:val="single"/>
        </w:rPr>
        <w:t>ochranný príspevok</w:t>
      </w:r>
      <w:r>
        <w:rPr>
          <w:rFonts w:ascii="Generic1-Regular" w:hAnsi="Generic1-Regular" w:cs="Generic1-Regular"/>
          <w:color w:val="000000"/>
          <w:sz w:val="23"/>
          <w:szCs w:val="23"/>
        </w:rPr>
        <w:t xml:space="preserve"> patrí za každého člena domácnosti v prípade, </w:t>
      </w:r>
      <w:proofErr w:type="spellStart"/>
      <w:r>
        <w:rPr>
          <w:rFonts w:ascii="Generic1-Regular" w:hAnsi="Generic1-Regular" w:cs="Generic1-Regular"/>
          <w:color w:val="000000"/>
          <w:sz w:val="23"/>
          <w:szCs w:val="23"/>
        </w:rPr>
        <w:t>o.i</w:t>
      </w:r>
      <w:proofErr w:type="spellEnd"/>
      <w:r>
        <w:rPr>
          <w:rFonts w:ascii="Generic1-Regular" w:hAnsi="Generic1-Regular" w:cs="Generic1-Regular"/>
          <w:color w:val="000000"/>
          <w:sz w:val="23"/>
          <w:szCs w:val="23"/>
        </w:rPr>
        <w:t xml:space="preserve">. ak spĺňa podmienku nároku na aktivačný príspevok, tzn. má uzatvorenú platnú dohodu, </w:t>
      </w:r>
      <w:r>
        <w:rPr>
          <w:rFonts w:ascii="Generic0-Regular" w:hAnsi="Generic0-Regular" w:cs="Generic0-Regular"/>
          <w:b/>
          <w:bCs/>
          <w:color w:val="000000"/>
          <w:sz w:val="23"/>
          <w:szCs w:val="23"/>
        </w:rPr>
        <w:t xml:space="preserve">ale v čase krízovej situácie z dôvodu nariadenia karantény alebo z dôvodu prekážky na strane organizátora </w:t>
      </w:r>
      <w:r>
        <w:rPr>
          <w:rFonts w:ascii="Generic1-Regular" w:hAnsi="Generic1-Regular" w:cs="Generic1-Regular"/>
          <w:color w:val="000000"/>
          <w:sz w:val="23"/>
          <w:szCs w:val="23"/>
        </w:rPr>
        <w:t>nemôže vykonať nasledovné aktivity podľa § 12 ods. 3 písm. b) bod 5  - menšie obecné služby v rozsahu najmenej 64 hodín mesačne a najviac 80 hodín mesačne na základe písomnej dohody medzi úradom a obcou.</w:t>
      </w: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b/>
          <w:color w:val="FF0000"/>
          <w:sz w:val="23"/>
          <w:szCs w:val="23"/>
        </w:rPr>
        <w:t xml:space="preserve">!!!! </w:t>
      </w:r>
      <w:r>
        <w:rPr>
          <w:sz w:val="23"/>
          <w:szCs w:val="23"/>
        </w:rPr>
        <w:t xml:space="preserve">Tak   ako v  prípade   výkonu  činností  v zmysle   § 10  zákona  o pomoci  v  hmotnej  </w:t>
      </w: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núdzi, nariadenie   karanténneho opatrenia   alebo  izolácie   k  vyhodnoteniu  dochádzky v </w:t>
      </w: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</w:t>
      </w:r>
    </w:p>
    <w:p>
      <w:pPr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>prípade  výkonu   aktivačnej   činnosti v zmysle §12 zákona o pomoci v hmotnej núdzi  bude  preverené  na  príslušnom regionálnom úrade   verejného  zdravotníctva.</w:t>
      </w:r>
    </w:p>
    <w:p>
      <w:pPr>
        <w:jc w:val="both"/>
        <w:rPr>
          <w:szCs w:val="24"/>
        </w:rPr>
      </w:pPr>
      <w:r>
        <w:rPr>
          <w:b/>
          <w:bCs/>
          <w:szCs w:val="24"/>
          <w:lang w:eastAsia="sk-SK"/>
        </w:rPr>
        <w:t xml:space="preserve">            </w:t>
      </w:r>
      <w:r>
        <w:rPr>
          <w:bCs/>
          <w:szCs w:val="24"/>
          <w:u w:val="single"/>
          <w:lang w:eastAsia="sk-SK"/>
        </w:rPr>
        <w:t>V praxi to znamená</w:t>
      </w:r>
      <w:r>
        <w:rPr>
          <w:b/>
          <w:bCs/>
          <w:szCs w:val="24"/>
          <w:lang w:eastAsia="sk-SK"/>
        </w:rPr>
        <w:t xml:space="preserve">, </w:t>
      </w:r>
      <w:r>
        <w:rPr>
          <w:szCs w:val="24"/>
        </w:rPr>
        <w:t xml:space="preserve">že klientom obsadzovaným na </w:t>
      </w:r>
      <w:r>
        <w:rPr>
          <w:b/>
          <w:szCs w:val="24"/>
        </w:rPr>
        <w:t xml:space="preserve">§12 </w:t>
      </w:r>
      <w:r>
        <w:rPr>
          <w:szCs w:val="24"/>
        </w:rPr>
        <w:t>zákona o pomoci v hmotnej</w:t>
      </w:r>
      <w:r>
        <w:rPr>
          <w:b/>
          <w:szCs w:val="24"/>
        </w:rPr>
        <w:t xml:space="preserve"> </w:t>
      </w:r>
      <w:r>
        <w:rPr>
          <w:szCs w:val="24"/>
        </w:rPr>
        <w:t xml:space="preserve">  </w:t>
      </w:r>
    </w:p>
    <w:p>
      <w:pPr>
        <w:jc w:val="both"/>
        <w:rPr>
          <w:szCs w:val="24"/>
        </w:rPr>
      </w:pPr>
      <w:r>
        <w:rPr>
          <w:szCs w:val="24"/>
        </w:rPr>
        <w:t xml:space="preserve">núdzi hodiny, ktoré odpracovali sa v dochádzke vyznačia ako odpracované a hodiny , ktoré neodpracovali počas nariadenej karantény sa vyznačia  neodpracované. Týmto klientom potom v zmysle nariadenia vlády č. 102/2020 Z. z. ..... vznikne </w:t>
      </w:r>
      <w:r>
        <w:rPr>
          <w:b/>
          <w:szCs w:val="24"/>
        </w:rPr>
        <w:t>nárok na ochranný príspevok</w:t>
      </w:r>
      <w:r>
        <w:rPr>
          <w:szCs w:val="24"/>
        </w:rPr>
        <w:t>.</w:t>
      </w:r>
    </w:p>
    <w:p>
      <w:pPr>
        <w:shd w:val="clear" w:color="auto" w:fill="FFFFFF"/>
        <w:jc w:val="both"/>
        <w:rPr>
          <w:szCs w:val="24"/>
          <w:lang w:eastAsia="sk-SK"/>
        </w:rPr>
      </w:pPr>
    </w:p>
    <w:p>
      <w:pPr>
        <w:jc w:val="both"/>
        <w:rPr>
          <w:rFonts w:ascii="Arial Black" w:hAnsi="Arial Black"/>
          <w:b/>
          <w:bCs/>
          <w:color w:val="0070C0"/>
          <w:szCs w:val="24"/>
          <w:lang w:eastAsia="sk-SK"/>
        </w:rPr>
      </w:pPr>
    </w:p>
    <w:p>
      <w:pPr>
        <w:rPr>
          <w:rFonts w:ascii="Arial Narrow" w:hAnsi="Arial Narrow"/>
          <w:b/>
          <w:bCs/>
          <w:szCs w:val="24"/>
          <w:lang w:eastAsia="sk-SK"/>
        </w:rPr>
      </w:pPr>
      <w:r>
        <w:rPr>
          <w:rFonts w:ascii="Arial Black" w:hAnsi="Arial Black"/>
          <w:b/>
          <w:bCs/>
          <w:color w:val="0070C0"/>
          <w:szCs w:val="24"/>
          <w:lang w:eastAsia="sk-SK"/>
        </w:rPr>
        <w:t xml:space="preserve">Na základe týchto skutočností Vás chceme požiadať o spoluprácu , a to o priebežné zaslanie menných zoznamov občanov, ktorí Vám oznámili, alebo oznámia, že majú nariadenú karanténu, alebo boli v kontakte s občanom s potvrdeným ochorením COVID-19. </w:t>
      </w:r>
      <w:r>
        <w:rPr>
          <w:rFonts w:ascii="Arial Narrow" w:hAnsi="Arial Narrow"/>
          <w:b/>
          <w:bCs/>
          <w:szCs w:val="24"/>
          <w:lang w:eastAsia="sk-SK"/>
        </w:rPr>
        <w:t>Každého jedného občana si preveríme na RÚVZ. Menné zoznamy prosím zasielajte koordinátorom AC.</w:t>
      </w:r>
    </w:p>
    <w:p>
      <w:pPr>
        <w:rPr>
          <w:rFonts w:ascii="Arial Black" w:hAnsi="Arial Black"/>
          <w:b/>
          <w:bCs/>
          <w:color w:val="0070C0"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  <w:r>
        <w:rPr>
          <w:bCs/>
          <w:szCs w:val="24"/>
          <w:lang w:eastAsia="sk-SK"/>
        </w:rPr>
        <w:t>Vopred ďakujeme za spoluprácu</w:t>
      </w:r>
      <w:r>
        <w:rPr>
          <w:b/>
          <w:bCs/>
          <w:szCs w:val="24"/>
          <w:lang w:eastAsia="sk-SK"/>
        </w:rPr>
        <w:t>.</w:t>
      </w: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</w:p>
    <w:p>
      <w:pPr>
        <w:rPr>
          <w:b/>
          <w:bCs/>
          <w:szCs w:val="24"/>
          <w:lang w:eastAsia="sk-SK"/>
        </w:rPr>
      </w:pPr>
      <w:bookmarkStart w:id="0" w:name="_GoBack"/>
      <w:bookmarkEnd w:id="0"/>
    </w:p>
    <w:p>
      <w:pPr>
        <w:rPr>
          <w:b/>
          <w:bCs/>
          <w:szCs w:val="24"/>
          <w:lang w:eastAsia="sk-SK"/>
        </w:rPr>
      </w:pPr>
    </w:p>
    <w:p>
      <w:pPr>
        <w:rPr>
          <w:bCs/>
          <w:szCs w:val="24"/>
          <w:lang w:eastAsia="sk-SK"/>
        </w:rPr>
      </w:pPr>
    </w:p>
    <w:p>
      <w:pPr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Ing. Beáta Sihelská, vedúca AC</w:t>
      </w:r>
    </w:p>
    <w:p>
      <w:pPr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V Rimavskej Sobote, dňa 19.10.2020</w:t>
      </w:r>
    </w:p>
    <w:p>
      <w:pPr>
        <w:rPr>
          <w:bCs/>
          <w:szCs w:val="24"/>
          <w:lang w:eastAsia="sk-SK"/>
        </w:rPr>
      </w:pPr>
    </w:p>
    <w:p>
      <w:pPr>
        <w:rPr>
          <w:bCs/>
          <w:szCs w:val="24"/>
          <w:lang w:eastAsia="sk-SK"/>
        </w:rPr>
      </w:pPr>
    </w:p>
    <w:p>
      <w:pPr>
        <w:rPr>
          <w:bCs/>
          <w:szCs w:val="24"/>
          <w:lang w:eastAsia="sk-SK"/>
        </w:rPr>
      </w:pPr>
    </w:p>
    <w:p>
      <w:pPr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neric1-Regular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163"/>
      </v:shape>
    </w:pict>
  </w:numPicBullet>
  <w:abstractNum w:abstractNumId="0">
    <w:nsid w:val="08320D38"/>
    <w:multiLevelType w:val="hybridMultilevel"/>
    <w:tmpl w:val="238E84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6B4A"/>
    <w:multiLevelType w:val="hybridMultilevel"/>
    <w:tmpl w:val="DD04734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44A0C"/>
    <w:multiLevelType w:val="hybridMultilevel"/>
    <w:tmpl w:val="EF0AF5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E60B5"/>
    <w:multiLevelType w:val="hybridMultilevel"/>
    <w:tmpl w:val="D058629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09E6"/>
    <w:multiLevelType w:val="hybridMultilevel"/>
    <w:tmpl w:val="2C6A6C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164FE"/>
    <w:multiLevelType w:val="hybridMultilevel"/>
    <w:tmpl w:val="174AF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011D6"/>
    <w:multiLevelType w:val="hybridMultilevel"/>
    <w:tmpl w:val="A5E86354"/>
    <w:lvl w:ilvl="0" w:tplc="1B82C6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F6055"/>
    <w:multiLevelType w:val="hybridMultilevel"/>
    <w:tmpl w:val="5762D5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608CE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Pr>
      <w:rFonts w:eastAsiaTheme="minorHAnsi"/>
      <w:szCs w:val="24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Pr>
      <w:rFonts w:eastAsiaTheme="minorHAnsi"/>
      <w:szCs w:val="24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Sihelská Beáta</dc:creator>
  <cp:lastModifiedBy>Sihelská Beáta</cp:lastModifiedBy>
  <cp:revision>8</cp:revision>
  <dcterms:created xsi:type="dcterms:W3CDTF">2020-10-19T12:27:00Z</dcterms:created>
  <dcterms:modified xsi:type="dcterms:W3CDTF">2020-10-19T17:20:00Z</dcterms:modified>
</cp:coreProperties>
</file>